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Calibri" w:hAnsi="Calibri"/>
          <w:sz w:val="22"/>
          <w:szCs w:val="22"/>
        </w:rPr>
      </w:pPr>
      <w:r>
        <w:rPr>
          <w:b/>
          <w:sz w:val="22"/>
          <w:szCs w:val="22"/>
        </w:rPr>
        <w:t>Informace o zpracování osobních údajů</w:t>
      </w:r>
    </w:p>
    <w:p>
      <w:pPr>
        <w:pStyle w:val="Normal"/>
        <w:jc w:val="both"/>
        <w:rPr/>
      </w:pPr>
      <w:r>
        <w:rPr>
          <w:b/>
          <w:sz w:val="22"/>
          <w:szCs w:val="22"/>
          <w:u w:val="single"/>
        </w:rPr>
        <w:t>Správce údajů:</w:t>
      </w:r>
      <w:r>
        <w:rPr>
          <w:sz w:val="22"/>
          <w:szCs w:val="22"/>
        </w:rPr>
        <w:t xml:space="preserve"> </w:t>
      </w:r>
      <w:r>
        <w:rPr>
          <w:rFonts w:eastAsia="Calibri" w:cs="" w:cstheme="minorBidi" w:eastAsiaTheme="minorHAnsi"/>
          <w:b w:val="false"/>
          <w:bCs w:val="false"/>
          <w:i w:val="false"/>
          <w:iCs w:val="false"/>
          <w:sz w:val="22"/>
          <w:szCs w:val="22"/>
        </w:rPr>
        <w:t>Základní škola Černá Hora, příspěvková organizace</w:t>
      </w:r>
    </w:p>
    <w:p>
      <w:pPr>
        <w:pStyle w:val="Normal"/>
        <w:jc w:val="both"/>
        <w:rPr>
          <w:b/>
          <w:b/>
        </w:rPr>
      </w:pPr>
      <w:r>
        <w:rPr>
          <w:b/>
          <w:sz w:val="22"/>
          <w:szCs w:val="22"/>
        </w:rPr>
        <w:t>Jaká je odpovědnost správce?</w:t>
      </w:r>
    </w:p>
    <w:p>
      <w:pPr>
        <w:pStyle w:val="Tlotextu"/>
        <w:widowControl/>
        <w:ind w:left="0" w:right="0" w:hanging="0"/>
        <w:jc w:val="both"/>
        <w:rPr/>
      </w:pPr>
      <w:r>
        <w:rPr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Jako správce </w:t>
      </w:r>
      <w:r>
        <w:rPr>
          <w:rFonts w:eastAsia="Calibri" w:cs="" w:cstheme="minorBidi" w:eastAsiaTheme="minorHAnsi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2"/>
          <w:szCs w:val="22"/>
        </w:rPr>
        <w:t>Z</w:t>
      </w:r>
      <w:r>
        <w:rPr>
          <w:rFonts w:eastAsia="Calibri" w:cs="" w:cstheme="minorBidi" w:eastAsiaTheme="minorHAnsi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2"/>
          <w:szCs w:val="22"/>
        </w:rPr>
        <w:t>Š</w:t>
      </w:r>
      <w:r>
        <w:rPr>
          <w:rFonts w:eastAsia="Calibri" w:cs="" w:cstheme="minorBidi" w:eastAsiaTheme="minorHAnsi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22"/>
          <w:szCs w:val="22"/>
        </w:rPr>
        <w:t xml:space="preserve"> Černá Hora, příspěvková organizace</w:t>
      </w:r>
      <w:r>
        <w:rPr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 jsme odpovědni za veškerá zpracování Vašich osobních údajů v rámci některé agendy ve škole. Dále vyřizujeme Vaše žádosti (např. o opravu, výmaz, o informaci o Vašich osobních údajích), námitky, a poskytujeme Vám informace o tom, jak a proč s vašimi osobními údaji nakládáme.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sz w:val="22"/>
          <w:szCs w:val="22"/>
        </w:rPr>
        <w:t>O řádné nakládání s osobními údaji se stará také pověřenec.</w:t>
      </w:r>
    </w:p>
    <w:p>
      <w:pPr>
        <w:pStyle w:val="Normal"/>
        <w:jc w:val="both"/>
        <w:rPr/>
      </w:pPr>
      <w:r>
        <w:rPr>
          <w:b/>
          <w:bCs/>
          <w:sz w:val="22"/>
          <w:szCs w:val="22"/>
          <w:u w:val="single"/>
        </w:rPr>
        <w:t xml:space="preserve">Kontakt na </w:t>
      </w:r>
      <w:r>
        <w:rPr>
          <w:b/>
          <w:sz w:val="22"/>
          <w:szCs w:val="22"/>
          <w:u w:val="single"/>
        </w:rPr>
        <w:t>pověřence pro ochranu osobních údajů:</w:t>
      </w:r>
      <w:r>
        <w:rPr>
          <w:sz w:val="22"/>
          <w:szCs w:val="22"/>
        </w:rPr>
        <w:t xml:space="preserve"> </w:t>
      </w:r>
      <w:hyperlink r:id="rId2">
        <w:r>
          <w:rPr>
            <w:rStyle w:val="Internetovodkaz"/>
            <w:sz w:val="22"/>
            <w:szCs w:val="22"/>
          </w:rPr>
          <w:t>blanka.brezinova@sms-sluzby.cz</w:t>
        </w:r>
      </w:hyperlink>
      <w:r>
        <w:rPr>
          <w:sz w:val="22"/>
          <w:szCs w:val="22"/>
        </w:rPr>
        <w:t xml:space="preserve">, </w:t>
      </w:r>
    </w:p>
    <w:p>
      <w:pPr>
        <w:pStyle w:val="Normal"/>
        <w:jc w:val="both"/>
        <w:rPr>
          <w:color w:val="2A6099"/>
        </w:rPr>
      </w:pPr>
      <w:r>
        <w:rPr>
          <w:b w:val="false"/>
          <w:bCs w:val="false"/>
          <w:color w:val="2A6099"/>
          <w:sz w:val="22"/>
          <w:szCs w:val="22"/>
        </w:rPr>
        <w:t>tel: +420 606 084 855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b/>
          <w:sz w:val="22"/>
          <w:szCs w:val="22"/>
        </w:rPr>
        <w:t>K čemu je mi pověřenec?</w:t>
      </w:r>
    </w:p>
    <w:p>
      <w:pPr>
        <w:pStyle w:val="Tlotextu"/>
        <w:widowControl/>
        <w:ind w:left="0" w:right="0" w:hanging="0"/>
        <w:jc w:val="both"/>
        <w:rPr/>
      </w:pPr>
      <w:r>
        <w:rPr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Na pověřence se také můžete obracet s jakýmikoliv dotazy, podněty a požadavky na uplatnění Vašich práv, které se týkají přímo Vašich osobních údajů používaných v rámci některé agendy ve škole, a to zejména, pokud se nechcete obrátit přímo na zástupce školy.</w:t>
      </w:r>
    </w:p>
    <w:p>
      <w:pPr>
        <w:pStyle w:val="Tlotextu"/>
        <w:widowControl/>
        <w:ind w:left="0" w:right="0" w:hanging="0"/>
        <w:jc w:val="both"/>
        <w:rPr/>
      </w:pPr>
      <w:r>
        <w:rPr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Pověřenec Vaše dotazy, požadavky a podněty odborně vyhodnotí, předá správci spolu s doporučením, jak je řešit, případně vám poskytne základní informace a konzultaci. Je vázaný mlčenlivostí a dodržuje důvěrnost i o stížnostech. Odpovědný za vyřízení Vašich dotazů, podnětů, námitek a požadavků je však výhradně samotný správce.</w:t>
      </w:r>
    </w:p>
    <w:p>
      <w:pPr>
        <w:pStyle w:val="Normal"/>
        <w:jc w:val="both"/>
        <w:rPr>
          <w:b/>
          <w:b/>
        </w:rPr>
      </w:pPr>
      <w:r>
        <w:rPr>
          <w:b/>
          <w:sz w:val="22"/>
          <w:szCs w:val="22"/>
        </w:rPr>
        <w:t>Jaká jsou Vaše práva?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sz w:val="22"/>
          <w:szCs w:val="22"/>
        </w:rPr>
        <w:t>Pokud Vaše osobní údaje používáme v rámci nějaké agendy ve škole, máte právo:</w:t>
      </w:r>
    </w:p>
    <w:p>
      <w:pPr>
        <w:pStyle w:val="ListParagraph"/>
        <w:numPr>
          <w:ilvl w:val="0"/>
          <w:numId w:val="2"/>
        </w:numPr>
        <w:jc w:val="both"/>
        <w:rPr/>
      </w:pPr>
      <w:r>
        <w:rPr>
          <w:sz w:val="22"/>
          <w:szCs w:val="22"/>
        </w:rPr>
        <w:t xml:space="preserve">Dotázat se, </w:t>
      </w:r>
      <w:r>
        <w:rPr>
          <w:b/>
          <w:sz w:val="22"/>
          <w:szCs w:val="22"/>
        </w:rPr>
        <w:t>zda</w:t>
      </w:r>
      <w:r>
        <w:rPr>
          <w:sz w:val="22"/>
          <w:szCs w:val="22"/>
        </w:rPr>
        <w:t xml:space="preserve"> se zpracovávají, a žádat jejich </w:t>
      </w:r>
      <w:r>
        <w:rPr>
          <w:b/>
          <w:sz w:val="22"/>
          <w:szCs w:val="22"/>
        </w:rPr>
        <w:t>kopii</w:t>
      </w:r>
      <w:r>
        <w:rPr>
          <w:sz w:val="22"/>
          <w:szCs w:val="22"/>
        </w:rPr>
        <w:t xml:space="preserve"> (export) (podrobněji čl. 15 </w:t>
      </w:r>
      <w:hyperlink r:id="rId3">
        <w:r>
          <w:rPr>
            <w:rStyle w:val="Internetovodkaz"/>
            <w:sz w:val="22"/>
            <w:szCs w:val="22"/>
          </w:rPr>
          <w:t>Obecného nařízení EU o ochraně osobních údajů č. 2016/679</w:t>
        </w:r>
      </w:hyperlink>
      <w:r>
        <w:rPr>
          <w:sz w:val="22"/>
          <w:szCs w:val="22"/>
        </w:rPr>
        <w:t xml:space="preserve">, dále používáme zkratku ON). V případě, že Váš požadavek na poskytnutí těchto informací bude zjevně bezdůvodný nebo nepřiměřený, zejména opakovaný v krátké době, můžeme požadovat úhradu přiměřených nákladů podle </w:t>
      </w:r>
      <w:r>
        <w:rPr>
          <w:b/>
          <w:sz w:val="22"/>
          <w:szCs w:val="22"/>
          <w:u w:val="single"/>
        </w:rPr>
        <w:t>Sazebníku úhrad</w:t>
      </w:r>
      <w:r>
        <w:rPr>
          <w:b/>
          <w:i/>
          <w:sz w:val="22"/>
          <w:szCs w:val="22"/>
          <w:u w:val="none"/>
        </w:rPr>
        <w:t>.</w:t>
      </w:r>
      <w:r>
        <w:rPr>
          <w:sz w:val="22"/>
          <w:szCs w:val="22"/>
        </w:rPr>
        <w:t xml:space="preserve"> Zjevně bezdůvodný nebo nepřiměřený požadavek můžeme též odmítnout.</w:t>
      </w:r>
    </w:p>
    <w:p>
      <w:pPr>
        <w:pStyle w:val="ListParagraph"/>
        <w:numPr>
          <w:ilvl w:val="0"/>
          <w:numId w:val="2"/>
        </w:numPr>
        <w:jc w:val="both"/>
        <w:rPr>
          <w:rFonts w:ascii="Calibri" w:hAnsi="Calibri"/>
          <w:sz w:val="22"/>
          <w:szCs w:val="22"/>
        </w:rPr>
      </w:pPr>
      <w:r>
        <w:rPr>
          <w:sz w:val="22"/>
          <w:szCs w:val="22"/>
        </w:rPr>
        <w:t xml:space="preserve">Požadovat </w:t>
      </w:r>
      <w:r>
        <w:rPr>
          <w:b/>
          <w:sz w:val="22"/>
          <w:szCs w:val="22"/>
        </w:rPr>
        <w:t>opravu svých osobních údajů</w:t>
      </w:r>
      <w:r>
        <w:rPr>
          <w:sz w:val="22"/>
          <w:szCs w:val="22"/>
        </w:rPr>
        <w:t xml:space="preserve">, pokud jsou nepřesné, požadovat jejich </w:t>
      </w:r>
      <w:r>
        <w:rPr>
          <w:b/>
          <w:sz w:val="22"/>
          <w:szCs w:val="22"/>
        </w:rPr>
        <w:t>vymazání</w:t>
      </w:r>
      <w:r>
        <w:rPr>
          <w:sz w:val="22"/>
          <w:szCs w:val="22"/>
        </w:rPr>
        <w:t xml:space="preserve">, pokud se zpracovávají neoprávněně, a požadovat, abychom jejich </w:t>
      </w:r>
      <w:r>
        <w:rPr>
          <w:b/>
          <w:sz w:val="22"/>
          <w:szCs w:val="22"/>
        </w:rPr>
        <w:t>zpracování</w:t>
      </w: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omezili </w:t>
      </w:r>
      <w:r>
        <w:rPr>
          <w:sz w:val="22"/>
          <w:szCs w:val="22"/>
        </w:rPr>
        <w:t xml:space="preserve">(podrobněji čl. 16, 17 a 18 ON). </w:t>
      </w:r>
    </w:p>
    <w:p>
      <w:pPr>
        <w:pStyle w:val="ListParagraph"/>
        <w:numPr>
          <w:ilvl w:val="0"/>
          <w:numId w:val="2"/>
        </w:numPr>
        <w:jc w:val="both"/>
        <w:rPr>
          <w:rFonts w:ascii="Calibri" w:hAnsi="Calibri"/>
          <w:sz w:val="22"/>
          <w:szCs w:val="22"/>
        </w:rPr>
      </w:pPr>
      <w:r>
        <w:rPr>
          <w:sz w:val="22"/>
          <w:szCs w:val="22"/>
        </w:rPr>
        <w:t xml:space="preserve">Dále v případech, kdy zpracování probíhá proto, že tím plníme náš úkol ve veřejném zájmu nebo při výkonu veřejné moci, kterým jsme pověřeni (čl. 6 odst. 1 písm. e) ON), anebo kvůli našemu oprávněnému zájmu (čl. 6 odst. 1 písm. f) ON), máte právo podat proti tomuto zpracování tzv. </w:t>
      </w:r>
      <w:r>
        <w:rPr>
          <w:b/>
          <w:sz w:val="22"/>
          <w:szCs w:val="22"/>
        </w:rPr>
        <w:t>námitku</w:t>
      </w:r>
      <w:r>
        <w:rPr>
          <w:sz w:val="22"/>
          <w:szCs w:val="22"/>
        </w:rPr>
        <w:t xml:space="preserve"> (podrobněji čl. 21 ON).</w:t>
      </w:r>
    </w:p>
    <w:p>
      <w:pPr>
        <w:pStyle w:val="ListParagraph"/>
        <w:numPr>
          <w:ilvl w:val="0"/>
          <w:numId w:val="2"/>
        </w:numPr>
        <w:jc w:val="both"/>
        <w:rPr>
          <w:rFonts w:ascii="Calibri" w:hAnsi="Calibri"/>
          <w:sz w:val="22"/>
          <w:szCs w:val="22"/>
        </w:rPr>
      </w:pPr>
      <w:r>
        <w:rPr>
          <w:sz w:val="22"/>
          <w:szCs w:val="22"/>
        </w:rPr>
        <w:t xml:space="preserve">Dále máte právo se o zpracování svých osobních údajů dozvědět </w:t>
      </w:r>
      <w:r>
        <w:rPr>
          <w:b/>
          <w:sz w:val="22"/>
          <w:szCs w:val="22"/>
        </w:rPr>
        <w:t>informace</w:t>
      </w:r>
      <w:r>
        <w:rPr>
          <w:sz w:val="22"/>
          <w:szCs w:val="22"/>
        </w:rPr>
        <w:t xml:space="preserve">, vztahující se k jednotlivým agendám („účelům zpracování“). Jejich obecný přehled zveřejňujeme níže. </w:t>
      </w:r>
    </w:p>
    <w:p>
      <w:pPr>
        <w:pStyle w:val="ListParagraph"/>
        <w:numPr>
          <w:ilvl w:val="0"/>
          <w:numId w:val="2"/>
        </w:numPr>
        <w:jc w:val="both"/>
        <w:rPr/>
      </w:pPr>
      <w:r>
        <w:rPr>
          <w:sz w:val="22"/>
          <w:szCs w:val="22"/>
        </w:rPr>
        <w:t xml:space="preserve">Pokud je zpracování Vašich osobních údajů založeno na tom, že jste nám k němu udělili </w:t>
      </w:r>
      <w:r>
        <w:rPr>
          <w:b/>
          <w:sz w:val="22"/>
          <w:szCs w:val="22"/>
        </w:rPr>
        <w:t>souhlas</w:t>
      </w:r>
      <w:r>
        <w:rPr>
          <w:sz w:val="22"/>
          <w:szCs w:val="22"/>
        </w:rPr>
        <w:t xml:space="preserve"> (čl. 6 odst. 1 písm. anebo čl. 9 odst. 2 písm. a ON), máte právo tento souhlas kdykoli </w:t>
      </w:r>
      <w:r>
        <w:rPr>
          <w:b/>
          <w:sz w:val="22"/>
          <w:szCs w:val="22"/>
        </w:rPr>
        <w:t>odvolat</w:t>
      </w:r>
      <w:r>
        <w:rPr>
          <w:sz w:val="22"/>
          <w:szCs w:val="22"/>
        </w:rPr>
        <w:t>. Souhlas odvoláte tak, že na adresu reditel@zscernahora.cz</w:t>
      </w:r>
      <w:r>
        <w:rPr>
          <w:rFonts w:eastAsia="Calibri" w:cs="" w:cstheme="minorBidi" w:eastAsiaTheme="minorHAnsi"/>
          <w:sz w:val="22"/>
          <w:szCs w:val="22"/>
        </w:rPr>
        <w:t xml:space="preserve"> </w:t>
      </w:r>
      <w:r>
        <w:rPr>
          <w:sz w:val="22"/>
          <w:szCs w:val="22"/>
        </w:rPr>
        <w:t xml:space="preserve">zašlete zprávu, v níž uvedete, o jaký souhlas jde a že ho odvoláváte. Totéž můžete zaslat i listinnou zásilkou na naši adresu, uvedenou na začátku tohoto textu, anebo osobně. </w:t>
      </w:r>
    </w:p>
    <w:p>
      <w:pPr>
        <w:pStyle w:val="ListParagraph"/>
        <w:numPr>
          <w:ilvl w:val="0"/>
          <w:numId w:val="2"/>
        </w:numPr>
        <w:jc w:val="both"/>
        <w:rPr>
          <w:rFonts w:ascii="Calibri" w:hAnsi="Calibri"/>
          <w:sz w:val="22"/>
          <w:szCs w:val="22"/>
        </w:rPr>
      </w:pPr>
      <w:r>
        <w:rPr>
          <w:sz w:val="22"/>
          <w:szCs w:val="22"/>
        </w:rPr>
        <w:t xml:space="preserve">Ve Vašich dotazech, podnětech a požadavcích ke svým osobním údajům se musíte identifikovat a uvést na sebe kontakt, protože zpravidla budeme muset nejprve ověřit Vaši totožnost. Vyřízení urychlíte, pokud se na nás obrátíte způsobem prokazujícím Vaši totožnost, jako je datová schránka, e-mail s uznávaným elektronickým podpisem anebo listinné podání s ověřeným podpisem, případně se </w:t>
      </w:r>
      <w:r>
        <w:rPr>
          <w:rFonts w:eastAsia="Calibri" w:cs="" w:cstheme="minorBidi" w:eastAsiaTheme="minorHAnsi"/>
          <w:sz w:val="22"/>
          <w:szCs w:val="22"/>
        </w:rPr>
        <w:t xml:space="preserve">do školy </w:t>
      </w:r>
      <w:r>
        <w:rPr>
          <w:sz w:val="22"/>
          <w:szCs w:val="22"/>
        </w:rPr>
        <w:t>dostavíte osobně s průkazem totožnosti.</w:t>
      </w:r>
    </w:p>
    <w:p>
      <w:pPr>
        <w:pStyle w:val="ListParagraph"/>
        <w:numPr>
          <w:ilvl w:val="0"/>
          <w:numId w:val="2"/>
        </w:numPr>
        <w:jc w:val="both"/>
        <w:rPr/>
      </w:pPr>
      <w:r>
        <w:rPr>
          <w:sz w:val="22"/>
          <w:szCs w:val="22"/>
        </w:rPr>
        <w:t xml:space="preserve">Pokud nebudete spokojeni s vyřízením dotazu, požadavku nebo podnětu správcem, máte právo </w:t>
      </w:r>
      <w:r>
        <w:rPr>
          <w:b/>
          <w:sz w:val="22"/>
          <w:szCs w:val="22"/>
        </w:rPr>
        <w:t>podat stížnost</w:t>
      </w:r>
      <w:r>
        <w:rPr>
          <w:sz w:val="22"/>
          <w:szCs w:val="22"/>
        </w:rPr>
        <w:t xml:space="preserve"> k </w:t>
      </w:r>
      <w:hyperlink r:id="rId4">
        <w:r>
          <w:rPr>
            <w:rStyle w:val="Internetovodkaz"/>
            <w:sz w:val="22"/>
            <w:szCs w:val="22"/>
          </w:rPr>
          <w:t>Úřadu pro ochranu osobních údajů</w:t>
        </w:r>
      </w:hyperlink>
      <w:r>
        <w:rPr>
          <w:sz w:val="22"/>
          <w:szCs w:val="22"/>
        </w:rPr>
        <w:t xml:space="preserve">. Předtím je ale vždy vhodné projednat problém s </w:t>
      </w:r>
      <w:r>
        <w:rPr>
          <w:b/>
          <w:sz w:val="22"/>
          <w:szCs w:val="22"/>
        </w:rPr>
        <w:t>pověřencem</w:t>
      </w:r>
      <w:r>
        <w:rPr>
          <w:sz w:val="22"/>
          <w:szCs w:val="22"/>
        </w:rPr>
        <w:t>. Jeho úkolem je především právě dohlížet na to, zda s Vašimi údaji pracujeme řádně a neporušujeme Vaše práva.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b/>
          <w:sz w:val="22"/>
          <w:szCs w:val="22"/>
        </w:rPr>
        <w:t xml:space="preserve">Jaké osobní údaje v jednotlivých agendách („účelech zpracování“) zpracováváme? 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b/>
          <w:sz w:val="22"/>
          <w:szCs w:val="22"/>
        </w:rPr>
        <w:t>Škola:</w:t>
      </w:r>
    </w:p>
    <w:p>
      <w:pPr>
        <w:pStyle w:val="Normal"/>
        <w:jc w:val="both"/>
        <w:rPr/>
      </w:pPr>
      <w:r>
        <w:rPr>
          <w:sz w:val="22"/>
          <w:szCs w:val="22"/>
        </w:rPr>
        <w:t xml:space="preserve">Velkou část údajů </w:t>
      </w:r>
      <w:r>
        <w:rPr>
          <w:b/>
          <w:bCs/>
          <w:sz w:val="22"/>
          <w:szCs w:val="22"/>
        </w:rPr>
        <w:t>o žácích a jejich zákonných zástupcích</w:t>
      </w:r>
      <w:r>
        <w:rPr>
          <w:sz w:val="22"/>
          <w:szCs w:val="22"/>
        </w:rPr>
        <w:t xml:space="preserve"> zpracováváme, protože nám to přímo ukládají zákony či navazující prováděcí předpisy (školský zákon, zákony o zdravotním a sociálním pojištění, vyhláška o vedení dokumentace škol a školských zařízení a školní matriky, vyhláška o vzdělávání žáků se speciálními vzdělávacími potřebami a žáků nadaných a další). Takto zpracováváme především jméno a příjmení, rodné číslo, státní občanství, místo narození a místo trvalého pobytu, údaje o průběhu a výsledcích vzdělávání, údaje o zdravotní způsobilosti, jméno a příjmení zákonného zástupce, místo trvalého pobytu, adresu pro doručování písemností, telefonické spojení. S těmito údaji pracují určení zaměstnanci v naší škole, údaje ze školní matriky pravidelně předáváme Ministerstvu školství. </w:t>
      </w:r>
    </w:p>
    <w:p>
      <w:pPr>
        <w:pStyle w:val="Normal"/>
        <w:jc w:val="both"/>
        <w:rPr/>
      </w:pPr>
      <w:r>
        <w:rPr>
          <w:sz w:val="22"/>
          <w:szCs w:val="22"/>
        </w:rPr>
        <w:t xml:space="preserve">Dále zpracováváme na základě smluv údaje </w:t>
      </w:r>
      <w:r>
        <w:rPr>
          <w:b/>
          <w:bCs/>
          <w:sz w:val="22"/>
          <w:szCs w:val="22"/>
        </w:rPr>
        <w:t>o našich zaměstnancích a dodavatelích či jejich zástupcích</w:t>
      </w:r>
      <w:r>
        <w:rPr>
          <w:sz w:val="22"/>
          <w:szCs w:val="22"/>
        </w:rPr>
        <w:t xml:space="preserve">. Takto zpracováváme především jejich jmenné a kontaktní údaje, údaje o platu a odměně a dalších platbách, údaje pro zdravotní a sociální pojištění, bankovní spojení a další podobné údaje. S těmito údaji pracují určení zaměstnanci v naší škole, případně je předáváme na žádost nebo z důvodu plnění zákonné povinnosti ČSSZ, finanční správě, Úřadu práce ČR, zdravotním pojišťovnám. Dále na základě plnění úkolu ve veřejném zájmu zpracováváme některé osobní údaje v dalších evidencích, například zájmových kroužků, dále pro informování na webu o školních událostech a další. V kombinaci se smlouvami zpracováváme také údaje potřebné pro školní stravování, školní výlety a zájezdy a další podobné agendy. S těmito údaji pracují pouze určení zaměstnanci v naší škole, popř. v případě akce pořádané školou je předáváme plavecké škole, cestovní agentuře apod. 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sz w:val="22"/>
          <w:szCs w:val="22"/>
        </w:rPr>
        <w:t xml:space="preserve">Osobní údaje uchováváme po dobu nezbytnou k účelu, pro který je zpracováváme, případně po dobu stanovenou spisovým a skartačním řádem. 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sz w:val="22"/>
          <w:szCs w:val="22"/>
        </w:rPr>
        <w:t xml:space="preserve">Osobní údaje nepředáváme do nečlenských států Evropské Unie. </w:t>
      </w:r>
    </w:p>
    <w:p>
      <w:pPr>
        <w:pStyle w:val="Normal"/>
        <w:spacing w:before="0" w:after="160"/>
        <w:jc w:val="both"/>
        <w:rPr/>
      </w:pPr>
      <w:r>
        <w:rPr>
          <w:sz w:val="22"/>
          <w:szCs w:val="22"/>
        </w:rPr>
        <w:t xml:space="preserve">Osobní údaje nejsou předmětem automatizovaného individuálního rozhodování, včetně profilování. </w:t>
      </w:r>
    </w:p>
    <w:sectPr>
      <w:footerReference w:type="default" r:id="rId5"/>
      <w:type w:val="nextPage"/>
      <w:pgSz w:w="11906" w:h="16838"/>
      <w:pgMar w:left="1417" w:right="1417" w:header="0" w:top="1417" w:footer="708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erif">
    <w:altName w:val="Times New Roman"/>
    <w:charset w:val="ee"/>
    <w:family w:val="swiss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Zpat"/>
      <w:rPr/>
    </w:pPr>
    <w:r>
      <w:rPr/>
      <w:tab/>
      <w:tab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Nadpis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Nadpis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cs-CZ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paragraph" w:styleId="Nadpis1">
    <w:name w:val="Heading 1"/>
    <w:basedOn w:val="Nadpis"/>
    <w:next w:val="Tlotextu"/>
    <w:qFormat/>
    <w:pPr>
      <w:numPr>
        <w:ilvl w:val="0"/>
        <w:numId w:val="1"/>
      </w:numPr>
      <w:spacing w:before="240" w:after="120"/>
      <w:outlineLvl w:val="0"/>
    </w:pPr>
    <w:rPr>
      <w:rFonts w:ascii="Liberation Serif" w:hAnsi="Liberation Serif" w:eastAsia="Segoe UI" w:cs="Tahoma"/>
      <w:b/>
      <w:bCs/>
      <w:sz w:val="48"/>
      <w:szCs w:val="48"/>
    </w:rPr>
  </w:style>
  <w:style w:type="paragraph" w:styleId="Nadpis3">
    <w:name w:val="Heading 3"/>
    <w:basedOn w:val="Nadpis"/>
    <w:next w:val="Tlotextu"/>
    <w:qFormat/>
    <w:pPr>
      <w:numPr>
        <w:ilvl w:val="2"/>
        <w:numId w:val="1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ovodkaz">
    <w:name w:val="Internetový odkaz"/>
    <w:basedOn w:val="DefaultParagraphFont"/>
    <w:uiPriority w:val="99"/>
    <w:unhideWhenUsed/>
    <w:rsid w:val="005a0f5b"/>
    <w:rPr>
      <w:color w:val="0563C1" w:themeColor="hyperlink"/>
      <w:u w:val="single"/>
    </w:rPr>
  </w:style>
  <w:style w:type="character" w:styleId="ZhlavChar" w:customStyle="1">
    <w:name w:val="Záhlaví Char"/>
    <w:basedOn w:val="DefaultParagraphFont"/>
    <w:link w:val="Zhlav"/>
    <w:uiPriority w:val="99"/>
    <w:qFormat/>
    <w:rsid w:val="008a033e"/>
    <w:rPr/>
  </w:style>
  <w:style w:type="character" w:styleId="ZpatChar" w:customStyle="1">
    <w:name w:val="Zápatí Char"/>
    <w:basedOn w:val="DefaultParagraphFont"/>
    <w:link w:val="Zpat"/>
    <w:uiPriority w:val="99"/>
    <w:qFormat/>
    <w:rsid w:val="008a033e"/>
    <w:rPr/>
  </w:style>
  <w:style w:type="character" w:styleId="TextbublinyChar" w:customStyle="1">
    <w:name w:val="Text bubliny Char"/>
    <w:basedOn w:val="DefaultParagraphFont"/>
    <w:link w:val="Textbubliny"/>
    <w:uiPriority w:val="99"/>
    <w:semiHidden/>
    <w:qFormat/>
    <w:rsid w:val="000b6072"/>
    <w:rPr>
      <w:rFonts w:ascii="Segoe UI" w:hAnsi="Segoe UI" w:cs="Segoe UI"/>
      <w:sz w:val="18"/>
      <w:szCs w:val="18"/>
    </w:rPr>
  </w:style>
  <w:style w:type="character" w:styleId="TextpoznpodarouChar" w:customStyle="1">
    <w:name w:val="Text pozn. pod čarou Char"/>
    <w:basedOn w:val="DefaultParagraphFont"/>
    <w:link w:val="Textpoznpodarou"/>
    <w:uiPriority w:val="99"/>
    <w:semiHidden/>
    <w:qFormat/>
    <w:rsid w:val="00f72e86"/>
    <w:rPr>
      <w:sz w:val="20"/>
      <w:szCs w:val="20"/>
    </w:rPr>
  </w:style>
  <w:style w:type="character" w:styleId="Ukotvenpoznmkypodarou">
    <w:name w:val="Ukotvení poznámky pod čarou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f72e86"/>
    <w:rPr>
      <w:vertAlign w:val="superscript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b33aca"/>
    <w:rPr>
      <w:sz w:val="16"/>
      <w:szCs w:val="16"/>
    </w:rPr>
  </w:style>
  <w:style w:type="character" w:styleId="TextkomenteChar" w:customStyle="1">
    <w:name w:val="Text komentáře Char"/>
    <w:basedOn w:val="DefaultParagraphFont"/>
    <w:link w:val="Textkomente"/>
    <w:uiPriority w:val="99"/>
    <w:semiHidden/>
    <w:qFormat/>
    <w:rsid w:val="00b33aca"/>
    <w:rPr>
      <w:sz w:val="20"/>
      <w:szCs w:val="20"/>
    </w:rPr>
  </w:style>
  <w:style w:type="character" w:styleId="PedmtkomenteChar" w:customStyle="1">
    <w:name w:val="Předmět komentáře Char"/>
    <w:basedOn w:val="TextkomenteChar"/>
    <w:link w:val="Pedmtkomente"/>
    <w:uiPriority w:val="99"/>
    <w:semiHidden/>
    <w:qFormat/>
    <w:rsid w:val="00b33aca"/>
    <w:rPr>
      <w:b/>
      <w:bCs/>
      <w:sz w:val="20"/>
      <w:szCs w:val="20"/>
    </w:rPr>
  </w:style>
  <w:style w:type="character" w:styleId="Nevyeenzmnka1" w:customStyle="1">
    <w:name w:val="Nevyřešená zmínka1"/>
    <w:basedOn w:val="DefaultParagraphFont"/>
    <w:uiPriority w:val="99"/>
    <w:semiHidden/>
    <w:unhideWhenUsed/>
    <w:qFormat/>
    <w:rsid w:val="00ec45f1"/>
    <w:rPr>
      <w:color w:val="808080"/>
      <w:shd w:fill="E6E6E6" w:val="clear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6447f7"/>
    <w:rPr>
      <w:color w:val="954F72" w:themeColor="followedHyperlink"/>
      <w:u w:val="single"/>
    </w:rPr>
  </w:style>
  <w:style w:type="character" w:styleId="ListLabel1">
    <w:name w:val="ListLabel 1"/>
    <w:qFormat/>
    <w:rPr>
      <w:highlight w:val="yellow"/>
    </w:rPr>
  </w:style>
  <w:style w:type="character" w:styleId="ListLabel2">
    <w:name w:val="ListLabel 2"/>
    <w:qFormat/>
    <w:rPr/>
  </w:style>
  <w:style w:type="character" w:styleId="Znakypropoznmkupodarou">
    <w:name w:val="Znaky pro poznámku pod čarou"/>
    <w:qFormat/>
    <w:rPr/>
  </w:style>
  <w:style w:type="character" w:styleId="Navtveninternetovodkaz">
    <w:name w:val="Navštívený internetový odkaz"/>
    <w:rPr>
      <w:color w:val="800000"/>
      <w:u w:val="single"/>
      <w:lang w:val="zxx" w:eastAsia="zxx" w:bidi="zxx"/>
    </w:rPr>
  </w:style>
  <w:style w:type="character" w:styleId="Ukotvenvysvtlivky">
    <w:name w:val="Ukotvení vysvětlivky"/>
    <w:rPr>
      <w:vertAlign w:val="superscript"/>
    </w:rPr>
  </w:style>
  <w:style w:type="character" w:styleId="Znakyprovysvtlivky">
    <w:name w:val="Znaky pro vysvětlivky"/>
    <w:qFormat/>
    <w:rPr/>
  </w:style>
  <w:style w:type="character" w:styleId="ListLabel3">
    <w:name w:val="ListLabel 3"/>
    <w:qFormat/>
    <w:rPr/>
  </w:style>
  <w:style w:type="character" w:styleId="ListLabel4">
    <w:name w:val="ListLabel 4"/>
    <w:qFormat/>
    <w:rPr/>
  </w:style>
  <w:style w:type="character" w:styleId="ListLabel5">
    <w:name w:val="ListLabel 5"/>
    <w:qFormat/>
    <w:rPr>
      <w:b/>
      <w:u w:val="none"/>
    </w:rPr>
  </w:style>
  <w:style w:type="character" w:styleId="ListLabel6">
    <w:name w:val="ListLabel 6"/>
    <w:qFormat/>
    <w:rPr/>
  </w:style>
  <w:style w:type="character" w:styleId="ListLabel7">
    <w:name w:val="ListLabel 7"/>
    <w:qFormat/>
    <w:rPr/>
  </w:style>
  <w:style w:type="character" w:styleId="ListLabel8">
    <w:name w:val="ListLabel 8"/>
    <w:qFormat/>
    <w:rPr>
      <w:b/>
      <w:u w:val="none"/>
    </w:rPr>
  </w:style>
  <w:style w:type="character" w:styleId="ListLabel9">
    <w:name w:val="ListLabel 9"/>
    <w:qFormat/>
    <w:rPr/>
  </w:style>
  <w:style w:type="character" w:styleId="ListLabel10">
    <w:name w:val="ListLabel 10"/>
    <w:qFormat/>
    <w:rPr/>
  </w:style>
  <w:style w:type="character" w:styleId="ListLabel11">
    <w:name w:val="ListLabel 11"/>
    <w:qFormat/>
    <w:rPr/>
  </w:style>
  <w:style w:type="character" w:styleId="ListLabel12">
    <w:name w:val="ListLabel 12"/>
    <w:qFormat/>
    <w:rPr/>
  </w:style>
  <w:style w:type="character" w:styleId="ListLabel13">
    <w:name w:val="ListLabel 13"/>
    <w:qFormat/>
    <w:rPr>
      <w:rFonts w:ascii="Calibri" w:hAnsi="Calibri"/>
      <w:sz w:val="22"/>
      <w:szCs w:val="22"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Mang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164ec1"/>
    <w:pPr>
      <w:spacing w:before="0" w:after="160"/>
      <w:ind w:left="720" w:hanging="0"/>
      <w:contextualSpacing/>
    </w:pPr>
    <w:rPr/>
  </w:style>
  <w:style w:type="paragraph" w:styleId="Zhlav">
    <w:name w:val="Header"/>
    <w:basedOn w:val="Normal"/>
    <w:link w:val="ZhlavChar"/>
    <w:uiPriority w:val="99"/>
    <w:unhideWhenUsed/>
    <w:rsid w:val="008a033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Zpat">
    <w:name w:val="Footer"/>
    <w:basedOn w:val="Normal"/>
    <w:link w:val="ZpatChar"/>
    <w:uiPriority w:val="99"/>
    <w:unhideWhenUsed/>
    <w:rsid w:val="008a033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0b6072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Poznmkapodarou">
    <w:name w:val="Footnote Text"/>
    <w:basedOn w:val="Normal"/>
    <w:link w:val="TextpoznpodarouChar"/>
    <w:uiPriority w:val="99"/>
    <w:semiHidden/>
    <w:unhideWhenUsed/>
    <w:rsid w:val="00f72e86"/>
    <w:pPr>
      <w:spacing w:lineRule="auto" w:line="240" w:before="0" w:after="0"/>
    </w:pPr>
    <w:rPr>
      <w:sz w:val="20"/>
      <w:szCs w:val="20"/>
    </w:rPr>
  </w:style>
  <w:style w:type="paragraph" w:styleId="Annotationtext">
    <w:name w:val="annotation text"/>
    <w:basedOn w:val="Normal"/>
    <w:link w:val="TextkomenteChar"/>
    <w:uiPriority w:val="99"/>
    <w:semiHidden/>
    <w:unhideWhenUsed/>
    <w:qFormat/>
    <w:rsid w:val="00b33aca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PedmtkomenteChar"/>
    <w:uiPriority w:val="99"/>
    <w:semiHidden/>
    <w:unhideWhenUsed/>
    <w:qFormat/>
    <w:rsid w:val="00b33aca"/>
    <w:pPr/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Mkatabulky">
    <w:name w:val="Table Grid"/>
    <w:basedOn w:val="Normlntabulka"/>
    <w:uiPriority w:val="39"/>
    <w:rsid w:val="009c258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blanka.brezinova@sms-sluzby.cz" TargetMode="External"/><Relationship Id="rId3" Type="http://schemas.openxmlformats.org/officeDocument/2006/relationships/hyperlink" Target="http://eur-lex.europa.eu/legal-content/CS/TXT/HTML/?uri=CELEX:32016R0679&amp;from=en" TargetMode="External"/><Relationship Id="rId4" Type="http://schemas.openxmlformats.org/officeDocument/2006/relationships/hyperlink" Target="https://www.uoou.cz/" TargetMode="Externa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9D6A10-A057-41AB-B7CD-6E01AD7056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Application>LibreOffice/6.1.4.2$Windows_X86_64 LibreOffice_project/9d0f32d1f0b509096fd65e0d4bec26ddd1938fd3</Application>
  <Pages>3</Pages>
  <Words>938</Words>
  <Characters>5421</Characters>
  <CharactersWithSpaces>6333</CharactersWithSpaces>
  <Paragraphs>32</Paragraphs>
  <Company>UMCP6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2018-05-14T21:20:00Z</dcterms:created>
  <dc:creator>Oldřich Kužílek</dc:creator>
  <dc:description/>
  <dc:language>cs-CZ</dc:language>
  <cp:lastModifiedBy/>
  <dcterms:modified xsi:type="dcterms:W3CDTF">2025-10-13T11:44:53Z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UMCP6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